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D65E" w14:textId="6A7547F6" w:rsidR="006E06A0" w:rsidRPr="00DE61FF" w:rsidRDefault="000873DD" w:rsidP="00DE61FF">
      <w:pPr>
        <w:pStyle w:val="Heading2"/>
        <w:jc w:val="center"/>
        <w:rPr>
          <w:sz w:val="40"/>
          <w:szCs w:val="40"/>
        </w:rPr>
      </w:pPr>
      <w:r w:rsidRPr="00DE61FF">
        <w:rPr>
          <w:sz w:val="40"/>
          <w:szCs w:val="40"/>
        </w:rPr>
        <w:t>2019 Fall Conference Vendors and Sponsors</w:t>
      </w:r>
    </w:p>
    <w:p w14:paraId="3056A619" w14:textId="072EDEFC" w:rsidR="000873DD" w:rsidRDefault="000873DD" w:rsidP="000873DD">
      <w:pPr>
        <w:jc w:val="center"/>
        <w:rPr>
          <w:rFonts w:ascii="Advantage" w:hAnsi="Advantage"/>
          <w:sz w:val="28"/>
          <w:szCs w:val="28"/>
        </w:rPr>
      </w:pPr>
    </w:p>
    <w:p w14:paraId="2C2D0B1E" w14:textId="00531325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MANN LAKE</w:t>
      </w:r>
    </w:p>
    <w:p w14:paraId="0E122B9D" w14:textId="3888F7FE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proofErr w:type="spellStart"/>
      <w:r>
        <w:rPr>
          <w:rFonts w:ascii="Advantage" w:hAnsi="Advantage"/>
          <w:sz w:val="28"/>
          <w:szCs w:val="28"/>
        </w:rPr>
        <w:t>Dadant</w:t>
      </w:r>
      <w:proofErr w:type="spellEnd"/>
    </w:p>
    <w:p w14:paraId="799E9C31" w14:textId="41A57E6D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proofErr w:type="spellStart"/>
      <w:r>
        <w:rPr>
          <w:rFonts w:ascii="Advantage" w:hAnsi="Advantage"/>
          <w:sz w:val="28"/>
          <w:szCs w:val="28"/>
        </w:rPr>
        <w:t>Lappe’s</w:t>
      </w:r>
      <w:proofErr w:type="spellEnd"/>
      <w:r>
        <w:rPr>
          <w:rFonts w:ascii="Advantage" w:hAnsi="Advantage"/>
          <w:sz w:val="28"/>
          <w:szCs w:val="28"/>
        </w:rPr>
        <w:t xml:space="preserve"> Bee Supply</w:t>
      </w:r>
    </w:p>
    <w:p w14:paraId="04EFE70E" w14:textId="3DB9E376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proofErr w:type="spellStart"/>
      <w:r>
        <w:rPr>
          <w:rFonts w:ascii="Advantage" w:hAnsi="Advantage"/>
          <w:sz w:val="28"/>
          <w:szCs w:val="28"/>
        </w:rPr>
        <w:t>BEEpothecary</w:t>
      </w:r>
      <w:proofErr w:type="spellEnd"/>
    </w:p>
    <w:p w14:paraId="1F57EBDA" w14:textId="2CCF86DA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Kelley Beekeeping</w:t>
      </w:r>
      <w:bookmarkStart w:id="0" w:name="_GoBack"/>
      <w:bookmarkEnd w:id="0"/>
    </w:p>
    <w:p w14:paraId="30752506" w14:textId="0BBC29B7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Ebert Honey</w:t>
      </w:r>
    </w:p>
    <w:p w14:paraId="4C9913CB" w14:textId="1ED0238F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SB Printz and Promo</w:t>
      </w:r>
    </w:p>
    <w:p w14:paraId="31F0EBFC" w14:textId="7E130ED1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The Lefthanded Woodworker</w:t>
      </w:r>
    </w:p>
    <w:p w14:paraId="3C2C64FB" w14:textId="6D36639D" w:rsid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Sweet Tree Garden</w:t>
      </w:r>
    </w:p>
    <w:p w14:paraId="5A986B0E" w14:textId="76685BC8" w:rsidR="000873DD" w:rsidRPr="000873DD" w:rsidRDefault="000873DD" w:rsidP="00DE61FF">
      <w:pPr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Honey Hollow Apiary and Gardens/ Foley’s Russian Bees</w:t>
      </w:r>
    </w:p>
    <w:sectPr w:rsidR="000873DD" w:rsidRPr="0008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antag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DD"/>
    <w:rsid w:val="000873DD"/>
    <w:rsid w:val="0016561A"/>
    <w:rsid w:val="003D1697"/>
    <w:rsid w:val="009067B6"/>
    <w:rsid w:val="009F04D7"/>
    <w:rsid w:val="00D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5FC"/>
  <w15:chartTrackingRefBased/>
  <w15:docId w15:val="{C86170E8-4BE2-4ACB-B591-374854C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Kenoyer</dc:creator>
  <cp:keywords/>
  <dc:description/>
  <cp:lastModifiedBy>Eric Kenoyer</cp:lastModifiedBy>
  <cp:revision>1</cp:revision>
  <dcterms:created xsi:type="dcterms:W3CDTF">2019-10-27T02:02:00Z</dcterms:created>
  <dcterms:modified xsi:type="dcterms:W3CDTF">2019-10-31T01:59:00Z</dcterms:modified>
</cp:coreProperties>
</file>